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1203B6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D80" w:rsidRPr="00A4701A">
        <w:rPr>
          <w:rFonts w:ascii="Times New Roman" w:hAnsi="Times New Roman" w:cs="Times New Roman"/>
          <w:b/>
          <w:sz w:val="26"/>
          <w:szCs w:val="26"/>
        </w:rPr>
        <w:t>«</w:t>
      </w:r>
      <w:r w:rsidR="0099434D" w:rsidRPr="000C3A30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ри холодной обработке металлов на </w:t>
      </w:r>
      <w:r w:rsidR="00706E25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фрезерных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 xml:space="preserve"> станках</w:t>
      </w:r>
      <w:r w:rsidR="00074D80" w:rsidRPr="000C3A30">
        <w:rPr>
          <w:rFonts w:ascii="Times New Roman" w:hAnsi="Times New Roman" w:cs="Times New Roman"/>
          <w:b/>
          <w:sz w:val="26"/>
          <w:szCs w:val="26"/>
        </w:rPr>
        <w:t>»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706E25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</w:t>
      </w:r>
      <w:r w:rsidR="00706E25">
        <w:rPr>
          <w:sz w:val="26"/>
          <w:szCs w:val="26"/>
        </w:rPr>
        <w:t xml:space="preserve">фрезерных </w:t>
      </w:r>
      <w:r w:rsidR="000C3A30" w:rsidRPr="000C3A30">
        <w:rPr>
          <w:sz w:val="26"/>
          <w:szCs w:val="26"/>
        </w:rPr>
        <w:t xml:space="preserve">станках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13B8E" w:rsidRPr="000C3A30">
        <w:rPr>
          <w:sz w:val="26"/>
          <w:szCs w:val="26"/>
        </w:rPr>
        <w:t>, утвержденны</w:t>
      </w:r>
      <w:r w:rsidR="00AD0F26">
        <w:rPr>
          <w:sz w:val="26"/>
          <w:szCs w:val="26"/>
        </w:rPr>
        <w:t>ми</w:t>
      </w:r>
      <w:r w:rsidR="00D13B8E" w:rsidRPr="000C3A30">
        <w:rPr>
          <w:sz w:val="26"/>
          <w:szCs w:val="26"/>
        </w:rPr>
        <w:t xml:space="preserve"> постановлением </w:t>
      </w:r>
      <w:r w:rsidR="00D13B8E" w:rsidRPr="00706E25">
        <w:rPr>
          <w:sz w:val="26"/>
          <w:szCs w:val="26"/>
        </w:rPr>
        <w:t xml:space="preserve">Министерства труда и социальной защиты Республики Беларусь, Министерства </w:t>
      </w:r>
      <w:r w:rsidR="00922082">
        <w:rPr>
          <w:sz w:val="26"/>
          <w:szCs w:val="26"/>
        </w:rPr>
        <w:t>промышленности</w:t>
      </w:r>
      <w:r w:rsidR="00D13B8E" w:rsidRPr="00706E25">
        <w:rPr>
          <w:sz w:val="26"/>
          <w:szCs w:val="26"/>
        </w:rPr>
        <w:t xml:space="preserve"> Республики Беларусь от </w:t>
      </w:r>
      <w:r w:rsidR="000C3A30" w:rsidRPr="00706E25">
        <w:rPr>
          <w:sz w:val="26"/>
          <w:szCs w:val="26"/>
        </w:rPr>
        <w:t>25</w:t>
      </w:r>
      <w:r w:rsidR="00D13B8E" w:rsidRPr="00706E25">
        <w:rPr>
          <w:sz w:val="26"/>
          <w:szCs w:val="26"/>
        </w:rPr>
        <w:t>.0</w:t>
      </w:r>
      <w:r w:rsidR="000C3A30" w:rsidRPr="00706E25">
        <w:rPr>
          <w:sz w:val="26"/>
          <w:szCs w:val="26"/>
        </w:rPr>
        <w:t>4</w:t>
      </w:r>
      <w:r w:rsidR="00D13B8E" w:rsidRPr="00706E25">
        <w:rPr>
          <w:sz w:val="26"/>
          <w:szCs w:val="26"/>
        </w:rPr>
        <w:t>.202</w:t>
      </w:r>
      <w:r w:rsidR="000C3A30" w:rsidRPr="00706E25">
        <w:rPr>
          <w:sz w:val="26"/>
          <w:szCs w:val="26"/>
        </w:rPr>
        <w:t>4</w:t>
      </w:r>
      <w:r w:rsidR="00D13B8E" w:rsidRPr="00706E25">
        <w:rPr>
          <w:sz w:val="26"/>
          <w:szCs w:val="26"/>
        </w:rPr>
        <w:t xml:space="preserve"> № </w:t>
      </w:r>
      <w:r w:rsidR="000C3A30" w:rsidRPr="00706E25">
        <w:rPr>
          <w:sz w:val="26"/>
          <w:szCs w:val="26"/>
        </w:rPr>
        <w:t>24/11</w:t>
      </w:r>
      <w:r w:rsidR="00D13B8E" w:rsidRPr="00706E25">
        <w:rPr>
          <w:sz w:val="26"/>
          <w:szCs w:val="26"/>
        </w:rPr>
        <w:t>.</w:t>
      </w:r>
    </w:p>
    <w:p w:rsidR="00706E25" w:rsidRPr="00706E25" w:rsidRDefault="00706E25" w:rsidP="00706E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06E25">
        <w:rPr>
          <w:rStyle w:val="word-wrapper"/>
          <w:b/>
          <w:sz w:val="26"/>
          <w:szCs w:val="26"/>
        </w:rPr>
        <w:t>Важно!</w:t>
      </w:r>
      <w:r w:rsidR="001203B6">
        <w:rPr>
          <w:rStyle w:val="word-wrapper"/>
          <w:b/>
          <w:sz w:val="26"/>
          <w:szCs w:val="26"/>
        </w:rPr>
        <w:t xml:space="preserve"> </w:t>
      </w:r>
      <w:r w:rsidRPr="00706E25">
        <w:rPr>
          <w:rStyle w:val="word-wrapper"/>
          <w:sz w:val="26"/>
          <w:szCs w:val="26"/>
        </w:rPr>
        <w:t>Не допускается работа на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универсальных фрезерных консольных станках, 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также станках 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крестовым столом без ограждения зоны обработки заготовок.</w:t>
      </w:r>
    </w:p>
    <w:p w:rsidR="00706E25" w:rsidRPr="00706E25" w:rsidRDefault="00706E25" w:rsidP="00706E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 универсальных фрезерных станках консольных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крестовым столом, 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также во всех фрезерных станках 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программным управлением закрепление инструмента должно осуществляться автоматически, если иное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предусмотрено эксплуатационными документами организаций-изготовителей.</w:t>
      </w:r>
    </w:p>
    <w:p w:rsidR="00706E25" w:rsidRPr="00706E25" w:rsidRDefault="00706E25" w:rsidP="00706E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При установке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снятии фрез должны применяться приспособления, предотвращающие порезы рук.</w:t>
      </w:r>
    </w:p>
    <w:p w:rsidR="00706E25" w:rsidRPr="00706E25" w:rsidRDefault="00706E25" w:rsidP="00706E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Во время работы на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фрезерном станке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допускается выколачивать фрезу из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шпинделя, поддерживая ее незащищенной рукой. Для этих целей необходимо применять эластичную прокладку.</w:t>
      </w:r>
    </w:p>
    <w:p w:rsidR="00706E25" w:rsidRPr="00706E25" w:rsidRDefault="00706E25" w:rsidP="00706E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 горизонтально-фрезерных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вертикально-фрезерных станках высотой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более 2500 мм задний конец шпинделя вместе 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выступающим концом винта для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закрепления инструмента, а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также выступающий из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поддержки конец фрезерной оправки должны ограждаться быстросъемными кожухами.</w:t>
      </w:r>
    </w:p>
    <w:p w:rsidR="00706E25" w:rsidRPr="00706E25" w:rsidRDefault="00706E25" w:rsidP="00706E25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sz w:val="26"/>
          <w:szCs w:val="26"/>
        </w:rPr>
      </w:pPr>
      <w:r w:rsidRPr="00706E25">
        <w:rPr>
          <w:rStyle w:val="word-wrapper"/>
          <w:sz w:val="26"/>
          <w:szCs w:val="26"/>
        </w:rPr>
        <w:t>В универсальных фрезерных станках консольных и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с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крестовым столом шириной до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630 мм время остановки шпинделя (без инструмента) после его выключения не</w:t>
      </w:r>
      <w:r w:rsidRPr="00706E25">
        <w:rPr>
          <w:rStyle w:val="fake-non-breaking-space"/>
          <w:sz w:val="26"/>
          <w:szCs w:val="26"/>
        </w:rPr>
        <w:t> </w:t>
      </w:r>
      <w:r w:rsidRPr="00706E25">
        <w:rPr>
          <w:rStyle w:val="word-wrapper"/>
          <w:sz w:val="26"/>
          <w:szCs w:val="26"/>
        </w:rPr>
        <w:t>должно превышать 6 с.</w:t>
      </w:r>
    </w:p>
    <w:p w:rsidR="003C4653" w:rsidRPr="000C3A30" w:rsidRDefault="003C4653" w:rsidP="000C3A30">
      <w:pPr>
        <w:pStyle w:val="p-normal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Департамента государственной</w:t>
      </w:r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</w:t>
      </w:r>
      <w:r w:rsidR="00DF2538">
        <w:rPr>
          <w:rFonts w:ascii="Times New Roman" w:hAnsi="Times New Roman" w:cs="Times New Roman"/>
          <w:sz w:val="26"/>
          <w:szCs w:val="26"/>
        </w:rPr>
        <w:t>спекции труда</w:t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</w:r>
      <w:r w:rsidR="00DF2538">
        <w:rPr>
          <w:rFonts w:ascii="Times New Roman" w:hAnsi="Times New Roman" w:cs="Times New Roman"/>
          <w:sz w:val="26"/>
          <w:szCs w:val="26"/>
        </w:rPr>
        <w:tab/>
        <w:t>Н.А. Садомов</w:t>
      </w:r>
      <w:bookmarkStart w:id="0" w:name="_GoBack"/>
      <w:bookmarkEnd w:id="0"/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0C" w:rsidRDefault="008C170C" w:rsidP="00622C33">
      <w:r>
        <w:separator/>
      </w:r>
    </w:p>
  </w:endnote>
  <w:endnote w:type="continuationSeparator" w:id="1">
    <w:p w:rsidR="008C170C" w:rsidRDefault="008C170C" w:rsidP="0062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0C" w:rsidRDefault="008C170C" w:rsidP="00622C33">
      <w:r>
        <w:separator/>
      </w:r>
    </w:p>
  </w:footnote>
  <w:footnote w:type="continuationSeparator" w:id="1">
    <w:p w:rsidR="008C170C" w:rsidRDefault="008C170C" w:rsidP="0062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01"/>
    <w:rsid w:val="00002C41"/>
    <w:rsid w:val="00013397"/>
    <w:rsid w:val="00074D80"/>
    <w:rsid w:val="00085A07"/>
    <w:rsid w:val="00092C6A"/>
    <w:rsid w:val="000B456A"/>
    <w:rsid w:val="000C3A30"/>
    <w:rsid w:val="001203B6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3C4653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76876"/>
    <w:rsid w:val="006B223B"/>
    <w:rsid w:val="006D15B6"/>
    <w:rsid w:val="00706E25"/>
    <w:rsid w:val="00717DE2"/>
    <w:rsid w:val="00753878"/>
    <w:rsid w:val="00777774"/>
    <w:rsid w:val="007826B3"/>
    <w:rsid w:val="007B7300"/>
    <w:rsid w:val="007E1F76"/>
    <w:rsid w:val="007E60CA"/>
    <w:rsid w:val="007F03A7"/>
    <w:rsid w:val="007F78A5"/>
    <w:rsid w:val="008065B3"/>
    <w:rsid w:val="00826E3B"/>
    <w:rsid w:val="008615EC"/>
    <w:rsid w:val="0086635C"/>
    <w:rsid w:val="00866464"/>
    <w:rsid w:val="00881FFE"/>
    <w:rsid w:val="008B4F14"/>
    <w:rsid w:val="008C170C"/>
    <w:rsid w:val="00922082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C0C"/>
    <w:rsid w:val="00AB7D65"/>
    <w:rsid w:val="00AD0F26"/>
    <w:rsid w:val="00AD34CB"/>
    <w:rsid w:val="00AD41D5"/>
    <w:rsid w:val="00B15252"/>
    <w:rsid w:val="00B541FF"/>
    <w:rsid w:val="00C108AA"/>
    <w:rsid w:val="00C33FCB"/>
    <w:rsid w:val="00C6724F"/>
    <w:rsid w:val="00C7663B"/>
    <w:rsid w:val="00C92951"/>
    <w:rsid w:val="00C96A95"/>
    <w:rsid w:val="00CC00BD"/>
    <w:rsid w:val="00CD3666"/>
    <w:rsid w:val="00CE2C28"/>
    <w:rsid w:val="00D00445"/>
    <w:rsid w:val="00D13B8E"/>
    <w:rsid w:val="00D432C6"/>
    <w:rsid w:val="00D53E13"/>
    <w:rsid w:val="00D95292"/>
    <w:rsid w:val="00DA577F"/>
    <w:rsid w:val="00DD1701"/>
    <w:rsid w:val="00DE0881"/>
    <w:rsid w:val="00DF2538"/>
    <w:rsid w:val="00E03CC3"/>
    <w:rsid w:val="00E320DC"/>
    <w:rsid w:val="00EE4B46"/>
    <w:rsid w:val="00F1794C"/>
    <w:rsid w:val="00FC0632"/>
    <w:rsid w:val="00FD39CD"/>
    <w:rsid w:val="00FF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F5BA-9434-423C-ADE9-987927F8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8</cp:revision>
  <cp:lastPrinted>2024-12-10T05:28:00Z</cp:lastPrinted>
  <dcterms:created xsi:type="dcterms:W3CDTF">2024-08-16T08:54:00Z</dcterms:created>
  <dcterms:modified xsi:type="dcterms:W3CDTF">2024-12-09T13:20:00Z</dcterms:modified>
</cp:coreProperties>
</file>