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96" w:rsidRPr="00142896" w:rsidRDefault="00142896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4D8D" w:rsidRPr="00AD66D5" w:rsidRDefault="000B128C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D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B8046F" w:rsidRPr="00AD66D5">
        <w:rPr>
          <w:rFonts w:ascii="Times New Roman" w:hAnsi="Times New Roman" w:cs="Times New Roman"/>
          <w:b/>
          <w:sz w:val="24"/>
          <w:szCs w:val="24"/>
        </w:rPr>
        <w:t xml:space="preserve"> безопасности при техническом обслуживании и ремонте транспортных средств</w:t>
      </w:r>
    </w:p>
    <w:p w:rsidR="000B128C" w:rsidRPr="00AD66D5" w:rsidRDefault="000B128C" w:rsidP="00454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2CE" w:rsidRPr="00AD66D5" w:rsidRDefault="00416698" w:rsidP="005302CE">
      <w:pPr>
        <w:widowControl w:val="0"/>
        <w:autoSpaceDE w:val="0"/>
        <w:autoSpaceDN w:val="0"/>
        <w:adjustRightInd w:val="0"/>
        <w:ind w:firstLine="540"/>
        <w:jc w:val="both"/>
      </w:pPr>
      <w:r w:rsidRPr="00AD66D5">
        <w:rPr>
          <w:lang w:bidi="ru-RU"/>
        </w:rPr>
        <w:t xml:space="preserve">Требования </w:t>
      </w:r>
      <w:r w:rsidR="00D86E30" w:rsidRPr="00AD66D5">
        <w:rPr>
          <w:lang w:bidi="ru-RU"/>
        </w:rPr>
        <w:t xml:space="preserve">безопасности </w:t>
      </w:r>
      <w:r w:rsidR="00B8046F" w:rsidRPr="00AD66D5">
        <w:rPr>
          <w:lang w:bidi="ru-RU"/>
        </w:rPr>
        <w:t xml:space="preserve">при техническом обслуживании и ремонте транспортных средств </w:t>
      </w:r>
      <w:r w:rsidR="0048283E" w:rsidRPr="00AD66D5">
        <w:rPr>
          <w:lang w:bidi="ru-RU"/>
        </w:rPr>
        <w:t xml:space="preserve">определены </w:t>
      </w:r>
      <w:r w:rsidR="0048283E" w:rsidRPr="00AD66D5">
        <w:t xml:space="preserve">Правилами </w:t>
      </w:r>
      <w:r w:rsidR="00D86E30" w:rsidRPr="00AD66D5">
        <w:t>по охране</w:t>
      </w:r>
      <w:r w:rsidR="0048283E" w:rsidRPr="00AD66D5">
        <w:t xml:space="preserve"> труда при</w:t>
      </w:r>
      <w:r w:rsidR="00D86E30" w:rsidRPr="00AD66D5">
        <w:t xml:space="preserve"> эксплуатации автомобильного и городского электрического транспорта, </w:t>
      </w:r>
      <w:r w:rsidR="0048283E" w:rsidRPr="00AD66D5">
        <w:t xml:space="preserve"> утвержденными постановлением Министерства труда </w:t>
      </w:r>
      <w:r w:rsidR="00D86E30" w:rsidRPr="00AD66D5">
        <w:t xml:space="preserve">и социальной защиты </w:t>
      </w:r>
      <w:r w:rsidR="0048283E" w:rsidRPr="00AD66D5">
        <w:t xml:space="preserve">Республики Беларусь </w:t>
      </w:r>
      <w:r w:rsidR="00D86E30" w:rsidRPr="00AD66D5">
        <w:t>и Министерства транспорта и коммуникаций Республики Беларусь 06.12.2022 № 78/104</w:t>
      </w:r>
      <w:r w:rsidR="0048283E" w:rsidRPr="00AD66D5">
        <w:t>.</w:t>
      </w:r>
      <w:bookmarkStart w:id="0" w:name="bookmark119"/>
      <w:bookmarkEnd w:id="0"/>
    </w:p>
    <w:p w:rsidR="005302CE" w:rsidRPr="00AD66D5" w:rsidRDefault="00144455" w:rsidP="005302CE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Вып</w:t>
      </w:r>
      <w:r w:rsidR="005302CE" w:rsidRPr="00AD66D5">
        <w:rPr>
          <w:lang w:bidi="ru-RU"/>
        </w:rPr>
        <w:t>олнение работ по техническому обслуживанию и ремонту (далее – ТО и Р)</w:t>
      </w:r>
      <w:r w:rsidRPr="00AD66D5">
        <w:rPr>
          <w:lang w:bidi="ru-RU"/>
        </w:rPr>
        <w:t xml:space="preserve"> транспортных средств проводится в специально отведенных местах (далее, если не установлено иное, - посты ТОиР), оснащенных необходимыми приборами и приспособлениями, инвентарем, оборудованием, предназначенными для выполнения соответствующих видов работ.</w:t>
      </w:r>
    </w:p>
    <w:p w:rsidR="005302CE" w:rsidRPr="00AD66D5" w:rsidRDefault="00144455" w:rsidP="005302CE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Ворота или двери помещений для ТОиР транспортных средств оборудуются надежными устройствами для фиксации их в закрытом и открытом положениях.</w:t>
      </w:r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Помещения для ТОиР автомобилей должны оснащаться упорами или башмаками, устанавливаемыми под колеса, и страховочными подставками (тумбами, козелками) в соответствии с технологической потребностью.</w:t>
      </w:r>
      <w:bookmarkStart w:id="1" w:name="bookmark120"/>
      <w:bookmarkEnd w:id="1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На посты ТОиР транспортные средства должны подаваться в чистом и сухом состоянии.</w:t>
      </w:r>
      <w:bookmarkStart w:id="2" w:name="bookmark121"/>
      <w:bookmarkEnd w:id="2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Работающие, выполняющие работы по ТОиР транспортных средств, обеспечиваются соответствующими исправными инструментом и приспособлениями, подмостями или лестницами-стремянками. Подмости должны быть устойчивыми и иметь поручни и лестницу. Металлические опоры подмостей должны быть надежно связаны между собой. Выполнение сварочных работ, работ с применением ручного электромеханического, пневматического инструмента с приставных лестниц не допускается.</w:t>
      </w:r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Эксплуатация оборудования, инструмента и приспособлений, применяемых при ТОиР, должна осуществляться в соответствии с требованиями, установленными нормативными правовыми актами, в том числе техническими нормативными правовыми актами, эксплуатационными документами. Оборудование, инструмент и приспособления должны использоваться по назначению.</w:t>
      </w:r>
      <w:bookmarkStart w:id="3" w:name="bookmark123"/>
      <w:bookmarkEnd w:id="3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Участие водителей, других работающих в выполнении работ по ТОиР транспортных средств допускается при соответствии их квалификации выполняемым работам и прохождении в установленном порядке обучения, стажировки, инструктажа и проверки знаний по вопросам охраны труда.</w:t>
      </w:r>
      <w:bookmarkStart w:id="4" w:name="bookmark124"/>
      <w:bookmarkEnd w:id="4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Испытательные (обкаточные) стенды должны обеспечивать надежность крепления обкатываемых агрегатов, гидросистем, плотность и герметичность трубопроводов, подводящих топливо, масло, охлаждающую жидкость и отводящих отработавшие газы.</w:t>
      </w:r>
      <w:bookmarkStart w:id="5" w:name="bookmark125"/>
      <w:bookmarkEnd w:id="5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Для проведения регулировочных работ тормозной системы транспортное средство должно находиться в неподвижном состоянии, двигатель остановлен. Осуществлять пуск двигателя и начинать движение транспортного средства после проведения регулировочных работ тормозной системы разрешается только после того, как водитель транспортного средства убедится, что работающие, производившие регулировочные работы тормозной системы, находятся в безопасной зоне.</w:t>
      </w:r>
      <w:bookmarkStart w:id="6" w:name="bookmark126"/>
      <w:bookmarkStart w:id="7" w:name="bookmark129"/>
      <w:bookmarkEnd w:id="6"/>
      <w:bookmarkEnd w:id="7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При необходимости выполнения работ под транспортным средством, находящимся вне осмотровой канавы, подъемника, эстакады, работающие должныобеспечиваться лежаками, а при выполнении работ с упором на колени - наколенниками из материала низкой теплопроводности и водопроницаемости.Работать лежа на полу или земле без лежака не допускается.</w:t>
      </w:r>
      <w:bookmarkStart w:id="8" w:name="bookmark130"/>
      <w:bookmarkEnd w:id="8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При выполнении работ по ТОиР транспортных средств работающим не допускается: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находиться в осмотровой канаве, под эстакадой при перемещении по ним транспортных средств;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производить самостоятельно устранение неисправностей оборудования без наличия соответствующей квалификации;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работать без соответствующего освещения;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 xml:space="preserve">находиться в проеме въездных ворот во время нахождения или передвижения в них </w:t>
      </w:r>
      <w:r w:rsidR="00144455" w:rsidRPr="00AD66D5">
        <w:rPr>
          <w:lang w:bidi="ru-RU"/>
        </w:rPr>
        <w:lastRenderedPageBreak/>
        <w:t>транспортного средства;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находиться между транспортным средством и опорой или иным сооружением во время движения или перед началом движения транспортного средства;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находиться на крыше движущегося транспортного средства;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прыгать с крыши одного транспортного средства на крышу другого транспортного средства;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подниматься на крышу транспортного средства во время нахождения транспортного средства в проеме въездных ворот;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перепрыгивать через открытую осмотровую канаву или переходить через нее при отсутствии переходного мостика;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проводить работы по ТОиР транспортного средства, стоящего на осмотровой канаве, при отсутствии переходных мостиков;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садиться на край осмотровой канавы вблизи стоящего транспортного средства;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при работе в осмотровой канаве класть на край осмотровой канавы или головку рельсов инструмент или материалы;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снимать средство индивидуальной защиты головы при работе в осмотровой канаве;</w:t>
      </w:r>
    </w:p>
    <w:p w:rsidR="004B7D68" w:rsidRPr="00AD66D5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 xml:space="preserve">- </w:t>
      </w:r>
      <w:r w:rsidR="00144455" w:rsidRPr="00AD66D5">
        <w:rPr>
          <w:lang w:bidi="ru-RU"/>
        </w:rPr>
        <w:t>прикасаться незащищенными руками к неизолированным электрическим проводам электроустановок или к участкам электрических проводов с поврежденной изоляцией.</w:t>
      </w:r>
      <w:bookmarkStart w:id="9" w:name="bookmark134"/>
      <w:bookmarkStart w:id="10" w:name="bookmark136"/>
      <w:bookmarkEnd w:id="9"/>
      <w:bookmarkEnd w:id="10"/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Транспортное средство, установленное на пост ТОиР, необходимо закрепить путем установки не менее двух противооткатных упоров с обеих сторон колеса.</w:t>
      </w:r>
    </w:p>
    <w:p w:rsidR="004B7D68" w:rsidRPr="00AD66D5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На рулевое колесо автомобиля, автобуса должна быть вывешена предупреждающая табличка с надписью «Двигатель не запускать! Работают люди!». На автомобилях, автобусах, имеющих дублирующее устройство для пуска двигателя, аналогичная табличка должна быть вывешена у этого устройства.</w:t>
      </w:r>
      <w:bookmarkStart w:id="11" w:name="bookmark150"/>
      <w:bookmarkEnd w:id="11"/>
    </w:p>
    <w:p w:rsidR="00835F65" w:rsidRPr="00AD66D5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При работе внутри кузова транспортного средства необходимо соблюдать осторожность во избежание падения в открытый люк в полу. Не допускается сбрасывать что-либо через открытый люк.</w:t>
      </w:r>
      <w:bookmarkStart w:id="12" w:name="bookmark158"/>
      <w:bookmarkStart w:id="13" w:name="bookmark160"/>
      <w:bookmarkEnd w:id="12"/>
      <w:bookmarkEnd w:id="13"/>
    </w:p>
    <w:p w:rsidR="00835F65" w:rsidRPr="00AD66D5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Проверку работоспособности и герметичности аппаратов и приборов пневмосистемы транспортных средств необходимо проводить при давлении сжатого воздуха, величина которого не превышает установленного предельного значения.</w:t>
      </w:r>
      <w:bookmarkStart w:id="14" w:name="bookmark161"/>
      <w:bookmarkStart w:id="15" w:name="bookmark162"/>
      <w:bookmarkEnd w:id="14"/>
      <w:bookmarkEnd w:id="15"/>
    </w:p>
    <w:p w:rsidR="00835F65" w:rsidRPr="00AD66D5" w:rsidRDefault="00144455" w:rsidP="00142896">
      <w:pPr>
        <w:pStyle w:val="ac"/>
        <w:rPr>
          <w:sz w:val="24"/>
          <w:szCs w:val="24"/>
        </w:rPr>
      </w:pPr>
      <w:r w:rsidRPr="00AD66D5">
        <w:rPr>
          <w:sz w:val="24"/>
          <w:szCs w:val="24"/>
        </w:rPr>
        <w:t>При ремонте пневмосистемы необходимо предварительно снизить давление и полностью выпустить воздух из пневмосистемы. Не допускается отсоединять трубопроводы и аппараты пневмосистемы, находящиеся под давлением.</w:t>
      </w:r>
      <w:bookmarkStart w:id="16" w:name="bookmark163"/>
      <w:bookmarkEnd w:id="16"/>
    </w:p>
    <w:p w:rsidR="00835F65" w:rsidRPr="00AD66D5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AD66D5">
        <w:rPr>
          <w:lang w:bidi="ru-RU"/>
        </w:rPr>
        <w:t>При продувке воздухопроводов пневмосистемы необходимо прикрывать выходное отверстие специальной емкостью с упорной стенкой или фартуком для улавливания и гашения воздушного потока.</w:t>
      </w:r>
      <w:bookmarkStart w:id="17" w:name="bookmark164"/>
      <w:bookmarkStart w:id="18" w:name="bookmark172"/>
      <w:bookmarkEnd w:id="17"/>
      <w:bookmarkEnd w:id="18"/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При осуществлении ремонта транспортного средства на линии перед снятием колес необходимо поднять транспортное средство домкратом с установкой страховочных подставок (тумб, козелков) и противооткатных упоров.</w:t>
      </w:r>
      <w:bookmarkStart w:id="19" w:name="bookmark181"/>
      <w:bookmarkEnd w:id="19"/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Не допускается нахождение работающих внутри транспортного средства, а также под ним в процессе подъема или опускания транспортного средства грузоподъемным механизмом.</w:t>
      </w:r>
      <w:bookmarkStart w:id="20" w:name="bookmark182"/>
      <w:bookmarkEnd w:id="20"/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При установке транспортного средства на страховочные подставки (тумбы, козелки) необходимо следить за тем, чтобы страховочные подставки были надежно установлены на полу, а кузов прочно опирался на рабочую поверхность каждой опоры.</w:t>
      </w:r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На каждой страховочной подставке (тумбе, козелке) должна быть указана предельно допустимая нагрузка.</w:t>
      </w:r>
      <w:bookmarkStart w:id="21" w:name="bookmark183"/>
      <w:bookmarkStart w:id="22" w:name="bookmark189"/>
      <w:bookmarkStart w:id="23" w:name="bookmark192"/>
      <w:bookmarkEnd w:id="21"/>
      <w:bookmarkEnd w:id="22"/>
      <w:bookmarkEnd w:id="23"/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При техническом обслуживании и ремонте транспортных средств для доступа к агрегатам, узлам и деталям, расположенным в нижней части транспортных средств, используются осмотровые канавы, размеры которых определяются в зависимости от типа транспортных средств и применяемого оборудования. Неиспользуемые более одной рабочей смены осмотровые канавы должны перекрываться.</w:t>
      </w:r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Пол осмотровой канавы, в которой производится работа с помощью передвижного грузоподъемного механизма, освобождается от посторонних предметов, деталей и поддерживается в чистоте.</w:t>
      </w:r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Для перехода через осмотровую канаву следует применять переходные мостики шириной не менее 0,8 м.</w:t>
      </w:r>
    </w:p>
    <w:p w:rsidR="00835F6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lastRenderedPageBreak/>
        <w:t>Осмотровые канавы и эстакады, за исключением канав, оборудованных ленточными конвейерами или специальным технологическим оборудованием (в местах его установки), должны иметь устройства, предотвращающие падение автомобиля в канаву или с эстакады во время его передвижения.</w:t>
      </w:r>
    </w:p>
    <w:p w:rsidR="00144455" w:rsidRPr="00AD66D5" w:rsidRDefault="00144455" w:rsidP="00835F65">
      <w:pPr>
        <w:pStyle w:val="3"/>
        <w:ind w:firstLine="708"/>
        <w:rPr>
          <w:sz w:val="24"/>
          <w:szCs w:val="24"/>
          <w:lang w:bidi="ru-RU"/>
        </w:rPr>
      </w:pPr>
      <w:r w:rsidRPr="00AD66D5">
        <w:rPr>
          <w:sz w:val="24"/>
          <w:szCs w:val="24"/>
          <w:lang w:bidi="ru-RU"/>
        </w:rPr>
        <w:t>Тупиковые осмотровые канавы дополнительно должны иметь стационарные упоры для колес автомобиля.</w:t>
      </w:r>
    </w:p>
    <w:p w:rsidR="00B8046F" w:rsidRPr="00AD66D5" w:rsidRDefault="00B8046F" w:rsidP="00E40662">
      <w:pPr>
        <w:pStyle w:val="3"/>
        <w:spacing w:line="240" w:lineRule="exact"/>
        <w:ind w:firstLine="0"/>
        <w:rPr>
          <w:sz w:val="24"/>
          <w:szCs w:val="24"/>
        </w:rPr>
      </w:pPr>
      <w:bookmarkStart w:id="24" w:name="bookmark193"/>
      <w:bookmarkEnd w:id="24"/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Главный государственный инспектор</w:t>
      </w:r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отдела надзора за соблюдением</w:t>
      </w:r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законодательства об охране труда</w:t>
      </w:r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Могилевского областного управления</w:t>
      </w:r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Департамента государственной</w:t>
      </w:r>
    </w:p>
    <w:p w:rsidR="00142896" w:rsidRPr="00AD66D5" w:rsidRDefault="00142896" w:rsidP="00142896">
      <w:pPr>
        <w:pStyle w:val="3"/>
        <w:spacing w:line="220" w:lineRule="exact"/>
        <w:ind w:firstLine="0"/>
        <w:rPr>
          <w:sz w:val="24"/>
          <w:szCs w:val="24"/>
        </w:rPr>
      </w:pPr>
      <w:r w:rsidRPr="00AD66D5">
        <w:rPr>
          <w:sz w:val="24"/>
          <w:szCs w:val="24"/>
        </w:rPr>
        <w:t>инспекции труда</w:t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Pr="00AD66D5">
        <w:rPr>
          <w:sz w:val="24"/>
          <w:szCs w:val="24"/>
        </w:rPr>
        <w:tab/>
      </w:r>
      <w:r w:rsidR="00AD66D5">
        <w:rPr>
          <w:sz w:val="24"/>
          <w:szCs w:val="24"/>
        </w:rPr>
        <w:t xml:space="preserve">      </w:t>
      </w:r>
      <w:r w:rsidR="00416156" w:rsidRPr="00AD66D5">
        <w:rPr>
          <w:sz w:val="24"/>
          <w:szCs w:val="24"/>
        </w:rPr>
        <w:t xml:space="preserve">              </w:t>
      </w:r>
      <w:r w:rsidRPr="00AD66D5">
        <w:rPr>
          <w:sz w:val="24"/>
          <w:szCs w:val="24"/>
        </w:rPr>
        <w:t>А.Н. Теремов</w:t>
      </w:r>
    </w:p>
    <w:p w:rsidR="00E40662" w:rsidRPr="00AD66D5" w:rsidRDefault="00E40662" w:rsidP="00142896">
      <w:pPr>
        <w:pStyle w:val="3"/>
        <w:spacing w:line="240" w:lineRule="exact"/>
        <w:ind w:firstLine="0"/>
        <w:rPr>
          <w:sz w:val="24"/>
          <w:szCs w:val="24"/>
        </w:rPr>
      </w:pPr>
    </w:p>
    <w:sectPr w:rsidR="00E40662" w:rsidRPr="00AD66D5" w:rsidSect="00142896">
      <w:footerReference w:type="default" r:id="rId7"/>
      <w:pgSz w:w="11906" w:h="16838"/>
      <w:pgMar w:top="426" w:right="707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FE1" w:rsidRDefault="00725FE1" w:rsidP="00BA0CFC">
      <w:r>
        <w:separator/>
      </w:r>
    </w:p>
  </w:endnote>
  <w:endnote w:type="continuationSeparator" w:id="1">
    <w:p w:rsidR="00725FE1" w:rsidRDefault="00725FE1" w:rsidP="00BA0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30" w:rsidRDefault="00D86E30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FE1" w:rsidRDefault="00725FE1" w:rsidP="00BA0CFC">
      <w:r>
        <w:separator/>
      </w:r>
    </w:p>
  </w:footnote>
  <w:footnote w:type="continuationSeparator" w:id="1">
    <w:p w:rsidR="00725FE1" w:rsidRDefault="00725FE1" w:rsidP="00BA0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3F5F"/>
    <w:multiLevelType w:val="multilevel"/>
    <w:tmpl w:val="E102C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2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504E8"/>
    <w:rsid w:val="00063E35"/>
    <w:rsid w:val="000B128C"/>
    <w:rsid w:val="00101036"/>
    <w:rsid w:val="00111067"/>
    <w:rsid w:val="00142896"/>
    <w:rsid w:val="00144455"/>
    <w:rsid w:val="001504E8"/>
    <w:rsid w:val="00166E31"/>
    <w:rsid w:val="00183D50"/>
    <w:rsid w:val="00233D89"/>
    <w:rsid w:val="002734D4"/>
    <w:rsid w:val="0028592C"/>
    <w:rsid w:val="002A2F78"/>
    <w:rsid w:val="003A2C7A"/>
    <w:rsid w:val="003F73CC"/>
    <w:rsid w:val="00416156"/>
    <w:rsid w:val="00416698"/>
    <w:rsid w:val="0043406B"/>
    <w:rsid w:val="00454D8D"/>
    <w:rsid w:val="0048283E"/>
    <w:rsid w:val="004B7D68"/>
    <w:rsid w:val="004F6669"/>
    <w:rsid w:val="00527F29"/>
    <w:rsid w:val="005302CE"/>
    <w:rsid w:val="005327C1"/>
    <w:rsid w:val="005A5C81"/>
    <w:rsid w:val="005C6688"/>
    <w:rsid w:val="005D47C1"/>
    <w:rsid w:val="0061052D"/>
    <w:rsid w:val="006D6B5B"/>
    <w:rsid w:val="00716E5E"/>
    <w:rsid w:val="00725FE1"/>
    <w:rsid w:val="00740A87"/>
    <w:rsid w:val="00743EE5"/>
    <w:rsid w:val="0076086F"/>
    <w:rsid w:val="007D499F"/>
    <w:rsid w:val="00835F65"/>
    <w:rsid w:val="008643D6"/>
    <w:rsid w:val="008C56E4"/>
    <w:rsid w:val="008D07B0"/>
    <w:rsid w:val="009067E0"/>
    <w:rsid w:val="00912E56"/>
    <w:rsid w:val="0092343A"/>
    <w:rsid w:val="009238D9"/>
    <w:rsid w:val="00942E34"/>
    <w:rsid w:val="009A7319"/>
    <w:rsid w:val="00A427E1"/>
    <w:rsid w:val="00A7112B"/>
    <w:rsid w:val="00AD66D5"/>
    <w:rsid w:val="00B16E2C"/>
    <w:rsid w:val="00B32CE5"/>
    <w:rsid w:val="00B57EDC"/>
    <w:rsid w:val="00B8046F"/>
    <w:rsid w:val="00BA0CFC"/>
    <w:rsid w:val="00BC77C2"/>
    <w:rsid w:val="00CB6EEC"/>
    <w:rsid w:val="00CD7BC2"/>
    <w:rsid w:val="00CF4936"/>
    <w:rsid w:val="00D11B73"/>
    <w:rsid w:val="00D86E30"/>
    <w:rsid w:val="00DA2975"/>
    <w:rsid w:val="00E40662"/>
    <w:rsid w:val="00E72BAD"/>
    <w:rsid w:val="00EA196F"/>
    <w:rsid w:val="00FC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2021-11-23T11:42:00Z</cp:lastPrinted>
  <dcterms:created xsi:type="dcterms:W3CDTF">2026-05-25T11:02:00Z</dcterms:created>
  <dcterms:modified xsi:type="dcterms:W3CDTF">2026-05-27T06:44:00Z</dcterms:modified>
</cp:coreProperties>
</file>