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B2" w:rsidRPr="00664C0F" w:rsidRDefault="00FF4CB2" w:rsidP="00FF4CB2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ЭКОНОМИЧЕСКАЯ БЕЗОПАСНОСТЬ – КЛЮЧЕВОЕ УСЛОВИЕ УСТОЙЧИВОГО РАЗВИТИЯ БЕЛОРУССКОГО ГОСУДАРСТВА</w:t>
      </w:r>
    </w:p>
    <w:p w:rsidR="00FF4CB2" w:rsidRPr="00664C0F" w:rsidRDefault="00FF4CB2" w:rsidP="00FF4CB2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:rsidR="00FF4CB2" w:rsidRPr="00664C0F" w:rsidRDefault="00FF4CB2" w:rsidP="00FF4CB2">
      <w:pPr>
        <w:spacing w:after="0" w:line="226" w:lineRule="auto"/>
        <w:jc w:val="center"/>
        <w:rPr>
          <w:rFonts w:eastAsia="Calibri" w:cs="Times New Roman"/>
          <w:i/>
          <w:sz w:val="22"/>
        </w:rPr>
      </w:pPr>
      <w:r w:rsidRPr="00664C0F">
        <w:rPr>
          <w:rFonts w:cs="Times New Roman"/>
          <w:i/>
          <w:sz w:val="22"/>
        </w:rPr>
        <w:t xml:space="preserve">на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«БелТА» и газеты «СБ. Беларусь сегодня»</w:t>
      </w:r>
    </w:p>
    <w:p w:rsidR="00FF4CB2" w:rsidRPr="00664C0F" w:rsidRDefault="00FF4CB2" w:rsidP="00FF4CB2">
      <w:pPr>
        <w:spacing w:after="0" w:line="226" w:lineRule="auto"/>
        <w:jc w:val="center"/>
        <w:rPr>
          <w:rFonts w:eastAsia="Calibri" w:cs="Times New Roman"/>
          <w:b/>
          <w:sz w:val="26"/>
          <w:szCs w:val="26"/>
        </w:rPr>
      </w:pP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>Президент Республики Беларусь А.Г.Лукашенко</w:t>
      </w:r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А.Г.Лукашенко 10 октября 2023 г. на встрече с губернатором Новосибирской области А.А.Травниковым. 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1. Общие сведения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ценовой и финансовой стабильности;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продовольственной безопасности;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lastRenderedPageBreak/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2. Экономический рост и повышение конкурентоспособности белорусской экономики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:rsidR="00FF4CB2" w:rsidRPr="00664C0F" w:rsidRDefault="00FF4CB2" w:rsidP="00FF4CB2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:rsidR="00FF4CB2" w:rsidRPr="00664C0F" w:rsidRDefault="00FF4CB2" w:rsidP="00FF4CB2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:rsidR="00FF4CB2" w:rsidRPr="00664C0F" w:rsidRDefault="00FF4CB2" w:rsidP="00FF4CB2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:rsidR="00FF4CB2" w:rsidRPr="00664C0F" w:rsidRDefault="00FF4CB2" w:rsidP="00FF4CB2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br/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lastRenderedPageBreak/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:rsidR="00FF4CB2" w:rsidRPr="00D81C7D" w:rsidRDefault="00FF4CB2" w:rsidP="00FF4CB2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первичных формах (113,5%), обуви (129,5%), тканей (118,0%), масла сливочного (144,8%), кормов сельскохозяйственных (131,3%) и других товаров.</w:t>
      </w:r>
    </w:p>
    <w:p w:rsidR="00FF4CB2" w:rsidRPr="00D81C7D" w:rsidRDefault="00FF4CB2" w:rsidP="00FF4CB2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«БелЭмса» за 8 месяцев увеличили объемы производства более чем в 2 раза, «Бобруйский комбинат хлебопродуктов» – в 1,3 раза. С темпами от 110 до 134% сработали «Зенит», «Моготекс»,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:rsidR="00FF4CB2" w:rsidRPr="00664C0F" w:rsidRDefault="00FF4CB2" w:rsidP="00FF4CB2">
      <w:pPr>
        <w:shd w:val="clear" w:color="auto" w:fill="FFFFFF" w:themeFill="background1"/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</w:t>
      </w:r>
      <w:r w:rsidRPr="00664C0F">
        <w:rPr>
          <w:rFonts w:eastAsia="Times New Roman" w:cs="Times New Roman"/>
          <w:i/>
          <w:sz w:val="26"/>
          <w:szCs w:val="26"/>
        </w:rPr>
        <w:br/>
        <w:t xml:space="preserve">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:rsidR="00FF4CB2" w:rsidRPr="00664C0F" w:rsidRDefault="00FF4CB2" w:rsidP="00FF4CB2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:rsidR="00FF4CB2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Pr="00664C0F">
        <w:rPr>
          <w:rFonts w:eastAsia="Times New Roman" w:cs="Times New Roman"/>
          <w:sz w:val="26"/>
          <w:szCs w:val="26"/>
        </w:rPr>
        <w:br/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>. За 8 месяцев т.г.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:rsidR="00FF4CB2" w:rsidRPr="00664C0F" w:rsidRDefault="00FF4CB2" w:rsidP="00FF4CB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проведение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освоение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>(впервые продемонстрирован 10 июля 2023 г. в г.Екатеринбург на выставке «Иннопром–2023»)</w:t>
      </w:r>
      <w:r w:rsidRPr="00664C0F">
        <w:rPr>
          <w:rFonts w:cs="Times New Roman"/>
          <w:bCs/>
          <w:sz w:val="26"/>
          <w:szCs w:val="26"/>
        </w:rPr>
        <w:t>;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:rsidR="00FF4CB2" w:rsidRPr="00664C0F" w:rsidRDefault="00FF4CB2" w:rsidP="00FF4CB2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:rsidR="00FF4CB2" w:rsidRPr="00664C0F" w:rsidRDefault="00FF4CB2" w:rsidP="00FF4CB2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>реализован инновационный проект по производству технологий, снижающих усадку готовых изделий» на ОАО «Керамин»</w:t>
      </w:r>
      <w:r w:rsidRPr="00664C0F">
        <w:rPr>
          <w:rFonts w:cs="Times New Roman"/>
          <w:bCs/>
          <w:sz w:val="26"/>
          <w:szCs w:val="26"/>
        </w:rPr>
        <w:t>;</w:t>
      </w:r>
    </w:p>
    <w:p w:rsidR="00FF4CB2" w:rsidRPr="00664C0F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:rsidR="00FF4CB2" w:rsidRPr="00D81C7D" w:rsidRDefault="00FF4CB2" w:rsidP="00FF4CB2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>Примерами развития импортозамещающих и экспортоориентированных производств в Могилевской области являются: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Крупнейшим производителем средств личной гигиены для взрослых и детей в Республике Беларусь ООО «БелЭмса»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«Бобруйскагромаш»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«Бобруйский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:rsidR="00FF4CB2" w:rsidRPr="00D81C7D" w:rsidRDefault="00FF4CB2" w:rsidP="00FF4C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К абсолютному импортозамещению относится реализация 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(ИООО «Омск Карбон Могилев»). На текущий момент введены в эксплуатацию два технологических потока по производству </w:t>
      </w:r>
      <w:r w:rsidRPr="00D81C7D">
        <w:rPr>
          <w:rFonts w:eastAsia="Times New Roman" w:cs="Times New Roman"/>
          <w:sz w:val="26"/>
          <w:szCs w:val="26"/>
          <w:lang w:eastAsia="ru-RU"/>
        </w:rPr>
        <w:lastRenderedPageBreak/>
        <w:t>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«Технолит» реализуется инвестиционный проект «Организация производства комплектующих для нефтехимического, газотранспортного, льноперерабатывающего оборудования и предприятий точной механики» (сроки реализации: 2022-2024 гг.). Построены и введены в эксплуатацию новые производственные цеха.                                     В рамках проекта произведено и отгружено новой импортозамещающей продукции на сумму порядка 1,5 млн. рублей.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«Ольса»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:rsidR="00FF4CB2" w:rsidRPr="00D81C7D" w:rsidRDefault="00FF4CB2" w:rsidP="00FF4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«Могилевлифтмаш» до конца года планирует завершить проект по созданию высокотехнологичного производства тяговых двигателей для ОАО «Белкоммунмаш» и двигателей специального исполнения для оборудования нефтехимических, газовых и рудных комплексов.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FF4CB2" w:rsidRPr="00664C0F" w:rsidRDefault="00FF4CB2" w:rsidP="00FF4CB2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переработку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костробрикетов </w:t>
      </w:r>
      <w:r w:rsidRPr="00664C0F">
        <w:rPr>
          <w:rFonts w:cs="Times New Roman"/>
          <w:bCs/>
          <w:i/>
          <w:iCs/>
          <w:sz w:val="26"/>
          <w:szCs w:val="26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«Кореличи-Лен», ОАО «Воложинский льнокомбинат»,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«Слуцкий льнозавод», ОАО «Горкилен»)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FF4CB2" w:rsidRPr="00664C0F" w:rsidRDefault="00FF4CB2" w:rsidP="00FF4CB2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 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FF4CB2" w:rsidRPr="00664C0F" w:rsidRDefault="00FF4CB2" w:rsidP="00FF4CB2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 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соломо-белкового корма для животных и др.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«МедЛен» и</w:t>
      </w:r>
      <w:r w:rsidRPr="00664C0F">
        <w:rPr>
          <w:rFonts w:cs="Times New Roman"/>
          <w:bCs/>
          <w:iCs/>
          <w:spacing w:val="-4"/>
          <w:sz w:val="26"/>
          <w:szCs w:val="26"/>
        </w:rPr>
        <w:br/>
        <w:t>ООО «Медватфарм» при производстве изделий санитарно-гигиенического назначения.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lastRenderedPageBreak/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 xml:space="preserve">ООО «МедЛен»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«Медватфарм» – медицинской ваты, стоматологических валиков, ватных шариков, бинтов, детских подгузников, ватных палочек и дисков.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>. Как следствие – тенденция экономического роста в областях в условиях санкционного давления.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г.Минске до 112,3% в Брестской области, в том числе 112,1% по Могилевской области.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11,1%. В Могилевской области поступления в бюджет от МСП составили 501,7 млн. руб.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lastRenderedPageBreak/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FF4CB2" w:rsidRPr="00664C0F" w:rsidRDefault="00FF4CB2" w:rsidP="00FF4CB2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 xml:space="preserve">(введение в октябре 2022 г. системы регулирования цен, которая нейтрализовала </w:t>
      </w:r>
      <w:r w:rsidRPr="00664C0F">
        <w:rPr>
          <w:rFonts w:cs="Times New Roman"/>
          <w:bCs/>
          <w:i/>
          <w:sz w:val="26"/>
          <w:szCs w:val="26"/>
        </w:rPr>
        <w:lastRenderedPageBreak/>
        <w:t>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:rsidR="00FF4CB2" w:rsidRPr="00664C0F" w:rsidRDefault="00FF4CB2" w:rsidP="00FF4CB2">
      <w:pPr>
        <w:suppressAutoHyphens/>
        <w:spacing w:before="120" w:after="0" w:line="280" w:lineRule="exact"/>
        <w:jc w:val="both"/>
        <w:rPr>
          <w:rFonts w:cs="Times New Roman"/>
          <w:b/>
          <w:i/>
          <w:sz w:val="26"/>
          <w:szCs w:val="26"/>
        </w:rPr>
      </w:pPr>
      <w:r w:rsidRPr="00664C0F">
        <w:rPr>
          <w:rFonts w:cs="Times New Roman"/>
          <w:b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Евростат).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БелАЭС), запущены энергоисточники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современные ветропарки и солнечные электростанции, широкое развитие получили технологии энергосбережения. За счет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реализации этих и других направлений энергоемкость ВВП страны снизилась в 1,2 раза.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С момента пуска энергоблока № 1 БелАЭС с 03.11.2020 по 30.09.2023 выработка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Глава государства А.Г.Лукашенко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>11 МВт. Из них самые мощные: Витебская ГЭС (40,0 МВт), Полоцкая ГЭС (21,66 МВт) на р.Западная Двина, Гродненская ГЭС (17 МВт) на р.Неман.</w:t>
      </w:r>
    </w:p>
    <w:p w:rsidR="00FF4CB2" w:rsidRPr="00664C0F" w:rsidRDefault="00FF4CB2" w:rsidP="00FF4CB2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Успешно эксплуатируется Новогрудская ветроэлектрическая станция в районе н.п.Грабники суммарной установленной мощностью 9,0 МВт.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Евростата,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Справочно: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FF4CB2" w:rsidRPr="00664C0F" w:rsidRDefault="00FF4CB2" w:rsidP="00FF4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:rsidR="00FF4CB2" w:rsidRPr="00664C0F" w:rsidRDefault="00FF4CB2" w:rsidP="00FF4CB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Справочно:</w:t>
      </w:r>
    </w:p>
    <w:p w:rsidR="00FF4CB2" w:rsidRPr="00664C0F" w:rsidRDefault="00FF4CB2" w:rsidP="00FF4CB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:rsidR="00FF4CB2" w:rsidRPr="00664C0F" w:rsidRDefault="00FF4CB2" w:rsidP="00FF4CB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FF4CB2" w:rsidRPr="00664C0F" w:rsidRDefault="00FF4CB2" w:rsidP="00FF4CB2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br/>
        <w:t>в среднем по ЕС и мировому сообществу.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</w:t>
      </w:r>
      <w:r w:rsidRPr="00664C0F">
        <w:rPr>
          <w:rFonts w:eastAsia="Times New Roman" w:cs="Times New Roman"/>
          <w:sz w:val="26"/>
          <w:szCs w:val="26"/>
          <w:lang w:eastAsia="ru-RU"/>
        </w:rPr>
        <w:lastRenderedPageBreak/>
        <w:t>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самообеспечения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FF4CB2" w:rsidRPr="00664C0F" w:rsidRDefault="00FF4CB2" w:rsidP="00FF4CB2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Справочно: 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:rsidR="00FF4CB2" w:rsidRPr="00664C0F" w:rsidRDefault="00FF4CB2" w:rsidP="00FF4CB2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:rsidR="00FF4CB2" w:rsidRPr="00664C0F" w:rsidRDefault="00FF4CB2" w:rsidP="00FF4CB2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:rsidR="00FF4CB2" w:rsidRPr="00664C0F" w:rsidRDefault="00FF4CB2" w:rsidP="00FF4CB2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br/>
        <w:t>150,6 тыс., в том числе вклад нашей области составляет 9 тыс. т.</w:t>
      </w:r>
    </w:p>
    <w:p w:rsidR="00FF4CB2" w:rsidRPr="00664C0F" w:rsidRDefault="00FF4CB2" w:rsidP="00FF4CB2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FF4CB2" w:rsidRPr="0055796E" w:rsidRDefault="00FF4CB2" w:rsidP="00FF4CB2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lastRenderedPageBreak/>
        <w:t>Наша страна осуществляет многовекторную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0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:rsidR="00FF4CB2" w:rsidRPr="00664C0F" w:rsidRDefault="00FF4CB2" w:rsidP="00FF4CB2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:rsidR="00FF4CB2" w:rsidRPr="00664C0F" w:rsidRDefault="00FF4CB2" w:rsidP="00FF4CB2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 w:val="26"/>
          <w:szCs w:val="26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:rsidR="00FF4CB2" w:rsidRPr="00664C0F" w:rsidRDefault="00FF4CB2" w:rsidP="00FF4CB2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664C0F">
        <w:rPr>
          <w:rFonts w:eastAsia="Times New Roman" w:cs="Times New Roman"/>
          <w:sz w:val="26"/>
          <w:szCs w:val="26"/>
        </w:rPr>
        <w:br/>
        <w:t xml:space="preserve">и нарастить. В январе–августе 2023 г. стоимостные объемы поставок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дружественных стран возросли в 1,3 раза по сравнению </w:t>
      </w:r>
      <w:r w:rsidRPr="00664C0F">
        <w:rPr>
          <w:rFonts w:eastAsia="Times New Roman" w:cs="Times New Roman"/>
          <w:sz w:val="26"/>
          <w:szCs w:val="26"/>
        </w:rPr>
        <w:br/>
        <w:t xml:space="preserve">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Доля дружественных стран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br/>
        <w:t>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6" w:name="_Toc91686134"/>
      <w:bookmarkStart w:id="7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664C0F">
        <w:rPr>
          <w:rFonts w:eastAsia="Times New Roman" w:cs="Times New Roman"/>
          <w:sz w:val="26"/>
          <w:szCs w:val="26"/>
        </w:rPr>
        <w:t xml:space="preserve">Экспортные поставки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Pr="00664C0F">
        <w:rPr>
          <w:rFonts w:eastAsia="Times New Roman" w:cs="Times New Roman"/>
          <w:sz w:val="26"/>
          <w:szCs w:val="26"/>
        </w:rPr>
        <w:br/>
        <w:t>страны СНГ – на 14,8%. Удельный вес стран ЕАЭС в общем объеме экспорта составил 67,2%</w:t>
      </w:r>
      <w:bookmarkStart w:id="8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8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:rsidR="00FF4CB2" w:rsidRPr="00664C0F" w:rsidRDefault="00FF4CB2" w:rsidP="00FF4CB2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:rsidR="00FF4CB2" w:rsidRPr="00664C0F" w:rsidRDefault="00FF4CB2" w:rsidP="00FF4CB2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>в 1,2 раза, телевизоров и мониторов – в 3,4 раза.</w:t>
      </w:r>
    </w:p>
    <w:p w:rsidR="00FF4CB2" w:rsidRPr="00664C0F" w:rsidRDefault="00FF4CB2" w:rsidP="00FF4CB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FF4CB2" w:rsidRPr="00664C0F" w:rsidRDefault="00FF4CB2" w:rsidP="00FF4CB2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FF4CB2" w:rsidRPr="00664C0F" w:rsidRDefault="00FF4CB2" w:rsidP="00FF4CB2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:rsidR="00FF4CB2" w:rsidRPr="00664C0F" w:rsidRDefault="00FF4CB2" w:rsidP="00FF4CB2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Pr="00664C0F">
        <w:rPr>
          <w:rFonts w:eastAsia="Times New Roman" w:cs="Times New Roman"/>
          <w:spacing w:val="-4"/>
          <w:sz w:val="26"/>
          <w:szCs w:val="26"/>
        </w:rPr>
        <w:br/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:rsidR="00FF4CB2" w:rsidRPr="00664C0F" w:rsidRDefault="00FF4CB2" w:rsidP="00FF4CB2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1"/>
    <w:bookmarkEnd w:id="2"/>
    <w:bookmarkEnd w:id="3"/>
    <w:bookmarkEnd w:id="4"/>
    <w:bookmarkEnd w:id="5"/>
    <w:p w:rsidR="00FF4CB2" w:rsidRPr="00664C0F" w:rsidRDefault="00FF4CB2" w:rsidP="00FF4CB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FF4CB2" w:rsidRPr="00664C0F" w:rsidRDefault="00FF4CB2" w:rsidP="00FF4CB2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FF4CB2" w:rsidRPr="00664C0F" w:rsidRDefault="00FF4CB2" w:rsidP="00FF4CB2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:rsidR="00FF4CB2" w:rsidRPr="00664C0F" w:rsidRDefault="00FF4CB2" w:rsidP="00FF4CB2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:rsidR="00FF4CB2" w:rsidRPr="00664C0F" w:rsidRDefault="00FF4CB2" w:rsidP="00FF4CB2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0"/>
    <w:p w:rsidR="00FF4CB2" w:rsidRPr="00664C0F" w:rsidRDefault="00FF4CB2" w:rsidP="00FF4CB2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FF4CB2" w:rsidRPr="00664C0F" w:rsidRDefault="00FF4CB2" w:rsidP="00FF4CB2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lastRenderedPageBreak/>
        <w:t xml:space="preserve">В сентябре 2023 г. популярная немецкая газета Die Welt опубликовала следующие результаты опроса социологической службы YouGov: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На фоне инфляции 33% немцев вынуждены покупать меньше свежих продуктов и делать выбор в пользу консервов.</w:t>
      </w:r>
    </w:p>
    <w:p w:rsidR="00FF4CB2" w:rsidRPr="00664C0F" w:rsidRDefault="00FF4CB2" w:rsidP="00FF4CB2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мнению экспертов Института экономических и социальных наук (WSI) Фонда Ханса Бёклера,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госинститутам».</w:t>
      </w:r>
    </w:p>
    <w:p w:rsidR="00FF4CB2" w:rsidRPr="00664C0F" w:rsidRDefault="00FF4CB2" w:rsidP="00FF4CB2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Pr="00664C0F">
        <w:rPr>
          <w:rFonts w:cs="Times New Roman"/>
          <w:bCs/>
          <w:sz w:val="26"/>
          <w:szCs w:val="26"/>
        </w:rPr>
        <w:br/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валовой внутренний продукт – прирост на 3,8%;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реальные располагаемые денежные доходы населения, в процентах к 2023 году – рост на 3,5%;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инвестиции в основной капитал, в процентах к 2023 году </w:t>
      </w:r>
      <w:r w:rsidRPr="00664C0F">
        <w:rPr>
          <w:rFonts w:cs="Times New Roman"/>
          <w:bCs/>
          <w:sz w:val="26"/>
          <w:szCs w:val="26"/>
        </w:rPr>
        <w:br/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r w:rsidRPr="00664C0F">
        <w:rPr>
          <w:rFonts w:cs="Times New Roman"/>
          <w:bCs/>
          <w:spacing w:val="-8"/>
          <w:sz w:val="26"/>
          <w:szCs w:val="26"/>
        </w:rPr>
        <w:t>экспорт товаров и услуг, в процентах к 2023 году – увеличение на 7,6%.</w:t>
      </w:r>
    </w:p>
    <w:p w:rsidR="00FF4CB2" w:rsidRPr="00664C0F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Белорусский лидер </w:t>
      </w:r>
      <w:r w:rsidRPr="00664C0F">
        <w:rPr>
          <w:rFonts w:cs="Times New Roman"/>
          <w:b/>
          <w:bCs/>
          <w:sz w:val="26"/>
          <w:szCs w:val="26"/>
        </w:rPr>
        <w:t>А.Г.Лукашенко</w:t>
      </w:r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А.А.Здуновым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p w:rsidR="00FF4CB2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FF4CB2" w:rsidRDefault="00FF4CB2" w:rsidP="00FF4CB2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4B50C7" w:rsidRDefault="004B50C7" w:rsidP="00FF4CB2">
      <w:bookmarkStart w:id="9" w:name="_GoBack"/>
      <w:bookmarkEnd w:id="9"/>
    </w:p>
    <w:sectPr w:rsidR="004B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8"/>
    <w:rsid w:val="004B50C7"/>
    <w:rsid w:val="00591098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D276-88E5-47FA-A712-74B31B80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5775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2023-11-13T05:09:00Z</dcterms:created>
  <dcterms:modified xsi:type="dcterms:W3CDTF">2023-11-13T05:09:00Z</dcterms:modified>
</cp:coreProperties>
</file>