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2E" w:rsidRDefault="006D742E">
      <w:pPr>
        <w:spacing w:line="1" w:lineRule="exact"/>
      </w:pPr>
    </w:p>
    <w:p w:rsidR="006D742E" w:rsidRDefault="00CB3C21" w:rsidP="00CB3C21">
      <w:pPr>
        <w:pStyle w:val="1"/>
        <w:framePr w:w="9566" w:h="706" w:hRule="exact" w:wrap="none" w:vAnchor="page" w:hAnchor="page" w:x="1471" w:y="991"/>
        <w:spacing w:line="194" w:lineRule="auto"/>
        <w:ind w:firstLine="0"/>
        <w:jc w:val="center"/>
      </w:pPr>
      <w:r>
        <w:t xml:space="preserve">Об </w:t>
      </w:r>
      <w:r>
        <w:t>использовании кассового оборудования</w:t>
      </w:r>
    </w:p>
    <w:p w:rsidR="006D742E" w:rsidRDefault="00CB3C21" w:rsidP="00CB3C21">
      <w:pPr>
        <w:pStyle w:val="1"/>
        <w:framePr w:w="9566" w:h="10430" w:hRule="exact" w:wrap="none" w:vAnchor="page" w:hAnchor="page" w:x="1651" w:y="1801"/>
        <w:ind w:firstLine="740"/>
        <w:jc w:val="both"/>
      </w:pPr>
      <w:r>
        <w:rPr>
          <w:b/>
          <w:bCs/>
        </w:rPr>
        <w:t xml:space="preserve">с 1 июля 2025 г. </w:t>
      </w:r>
      <w:r>
        <w:t>субъекты хозяйствования обязаны использовать:</w:t>
      </w:r>
    </w:p>
    <w:p w:rsidR="006D742E" w:rsidRDefault="00CB3C21" w:rsidP="00CB3C21">
      <w:pPr>
        <w:pStyle w:val="1"/>
        <w:framePr w:w="9566" w:h="10430" w:hRule="exact" w:wrap="none" w:vAnchor="page" w:hAnchor="page" w:x="1651" w:y="1801"/>
        <w:ind w:firstLine="740"/>
        <w:jc w:val="both"/>
      </w:pPr>
      <w:r>
        <w:t>кассовые суммирующие аппараты, в том числе совмещенные с таксометрами, б</w:t>
      </w:r>
      <w:r>
        <w:t xml:space="preserve">илетопечатающие машины, модели (модификации) которых включены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- Государственный реестр), </w:t>
      </w:r>
      <w:r>
        <w:t>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</w:t>
      </w:r>
      <w:r>
        <w:t>ле совмещенным с таксометрами, билетопечатающим машинам»;</w:t>
      </w:r>
    </w:p>
    <w:p w:rsidR="006D742E" w:rsidRDefault="00CB3C21" w:rsidP="00CB3C21">
      <w:pPr>
        <w:pStyle w:val="1"/>
        <w:framePr w:w="9566" w:h="10430" w:hRule="exact" w:wrap="none" w:vAnchor="page" w:hAnchor="page" w:x="1651" w:y="1801"/>
        <w:ind w:firstLine="740"/>
        <w:jc w:val="both"/>
      </w:pPr>
      <w:r>
        <w:t>программные кассы, соответствующие требованиям, установленным постановлением Министерства по налогам и сборам Республики Беларусь от 29.03.2018 № 10 «О требованиях к программной кассовой системе, пр</w:t>
      </w:r>
      <w:r>
        <w:t>ограммной кассе, оператору программной кассовой системы и о работе комиссии по оценке на соответствие предъявляемым требованиям» (в редакции постановления Министерства по налогам и сборам Республики Беларусь от 29.12.2022 № 41 «Об изменении постановления М</w:t>
      </w:r>
      <w:r>
        <w:t>инистерства по налогам и сборам Республики Беларусь от 29 марта 2018 г. № 10»).</w:t>
      </w:r>
    </w:p>
    <w:p w:rsidR="006D742E" w:rsidRDefault="00CB3C21" w:rsidP="00CB3C21">
      <w:pPr>
        <w:pStyle w:val="1"/>
        <w:framePr w:w="9566" w:h="10430" w:hRule="exact" w:wrap="none" w:vAnchor="page" w:hAnchor="page" w:x="1651" w:y="1801"/>
        <w:ind w:firstLine="740"/>
        <w:jc w:val="both"/>
      </w:pPr>
      <w:r>
        <w:t>В настоящее время заявителями кассовых суммирующих аппаратов и операторами программных кассовых систем осуществляется доработка кассового оборудование на соответствие новым тре</w:t>
      </w:r>
      <w:r>
        <w:t>бованиям.</w:t>
      </w:r>
    </w:p>
    <w:p w:rsidR="006D742E" w:rsidRDefault="006D742E">
      <w:pPr>
        <w:spacing w:line="1" w:lineRule="exact"/>
        <w:sectPr w:rsidR="006D74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42E" w:rsidRDefault="006D742E">
      <w:pPr>
        <w:spacing w:line="1" w:lineRule="exact"/>
      </w:pPr>
    </w:p>
    <w:p w:rsidR="006D742E" w:rsidRDefault="00CB3C21">
      <w:pPr>
        <w:pStyle w:val="a5"/>
        <w:framePr w:w="9595" w:h="312" w:hRule="exact" w:wrap="none" w:vAnchor="page" w:hAnchor="page" w:x="1647" w:y="677"/>
        <w:jc w:val="center"/>
      </w:pPr>
      <w:r>
        <w:t>2</w:t>
      </w:r>
    </w:p>
    <w:p w:rsidR="006D742E" w:rsidRDefault="00CB3C21">
      <w:pPr>
        <w:pStyle w:val="1"/>
        <w:framePr w:w="9595" w:h="14299" w:hRule="exact" w:wrap="none" w:vAnchor="page" w:hAnchor="page" w:x="1647" w:y="1205"/>
        <w:ind w:firstLine="760"/>
        <w:jc w:val="both"/>
      </w:pPr>
      <w:r>
        <w:t xml:space="preserve">Мероприятия по доработке кассового оборудования осуществляются в соответствии с Планом мероприятий по внедрению новых требований к кассовому оборудованию по выводу из оборота маркированных товаров, утвержденным Министром </w:t>
      </w:r>
      <w:r>
        <w:t>по налогам и сборам Республики Беларусь С.Э.Наливайко и Председателем Государственного комитета по стандартизации Республики Беларусь В.Б.Татарицким от 6 февраля 2023 г. № 8-2-10/08018, № 04-07/141 (далее - План мероприятий, направлялся письмом МНС от 13.0</w:t>
      </w:r>
      <w:r>
        <w:t>2.2023 № 8-2-13/00505).</w:t>
      </w:r>
    </w:p>
    <w:p w:rsidR="006D742E" w:rsidRDefault="00CB3C21">
      <w:pPr>
        <w:pStyle w:val="1"/>
        <w:framePr w:w="9595" w:h="14299" w:hRule="exact" w:wrap="none" w:vAnchor="page" w:hAnchor="page" w:x="1647" w:y="1205"/>
        <w:ind w:firstLine="760"/>
        <w:jc w:val="both"/>
      </w:pPr>
      <w:r>
        <w:t xml:space="preserve">Так, в соответствии с подпунктом 3.7 пункта 3 Плана мероприятий доработка используемых в торговых и иных объектах кассовых аппаратов до соответствия новым требованиям (при необходимости) либо приобретение и подключение к СККО новых </w:t>
      </w:r>
      <w:r>
        <w:t>моделей (модификаций) кассовых аппаратов, соответ</w:t>
      </w:r>
      <w:bookmarkStart w:id="0" w:name="_GoBack"/>
      <w:bookmarkEnd w:id="0"/>
      <w:r>
        <w:t xml:space="preserve">ствующих новым требованиям, </w:t>
      </w:r>
      <w:r>
        <w:rPr>
          <w:b/>
          <w:bCs/>
        </w:rPr>
        <w:t>у субъектов хозяйствования, осуществляющих продажу маркированных унифицированными контрольными знаками и средствами идентификации товаров</w:t>
      </w:r>
      <w:r>
        <w:t xml:space="preserve">, должна быть осуществлена до </w:t>
      </w:r>
      <w:r>
        <w:rPr>
          <w:b/>
          <w:bCs/>
        </w:rPr>
        <w:t>01.01.2025</w:t>
      </w:r>
      <w:r>
        <w:t xml:space="preserve">, </w:t>
      </w:r>
      <w:r>
        <w:t xml:space="preserve">у субъектов хозяйствования, не осуществляющих продажу маркированных унифицированными контрольными знаками и средствами идентификации товаров - </w:t>
      </w:r>
      <w:r>
        <w:rPr>
          <w:b/>
          <w:bCs/>
        </w:rPr>
        <w:t>до 01.04.2025</w:t>
      </w:r>
      <w:r>
        <w:t>.</w:t>
      </w:r>
    </w:p>
    <w:p w:rsidR="006D742E" w:rsidRDefault="00CB3C21">
      <w:pPr>
        <w:pStyle w:val="1"/>
        <w:framePr w:w="9595" w:h="14299" w:hRule="exact" w:wrap="none" w:vAnchor="page" w:hAnchor="page" w:x="1647" w:y="1205"/>
        <w:ind w:firstLine="760"/>
        <w:jc w:val="both"/>
      </w:pPr>
      <w:r>
        <w:t>Согласно подпункту 3.9 пункта 3 Плана мероприятий замена программного обеспечения (программных кас</w:t>
      </w:r>
      <w:r>
        <w:t xml:space="preserve">с) </w:t>
      </w:r>
      <w:r>
        <w:rPr>
          <w:b/>
          <w:bCs/>
        </w:rPr>
        <w:t>у пользователей программных касс в части соответствия новым требованиям должна быть осуществлена до 01.01.2025.</w:t>
      </w:r>
    </w:p>
    <w:p w:rsidR="006D742E" w:rsidRDefault="00CB3C21">
      <w:pPr>
        <w:pStyle w:val="1"/>
        <w:framePr w:w="9595" w:h="14299" w:hRule="exact" w:wrap="none" w:vAnchor="page" w:hAnchor="page" w:x="1647" w:y="1205"/>
        <w:ind w:firstLine="760"/>
        <w:jc w:val="both"/>
      </w:pPr>
      <w:r>
        <w:t xml:space="preserve">В целях безусловного выполнения требований законодательства, предусматривающих использование с 1 июля 2025 г. нового кассового оборудования, субъектам хозяйствования, необходимо провести работы по обновлению либо замене кассового оборудования, поскольку </w:t>
      </w:r>
      <w:r>
        <w:rPr>
          <w:b/>
          <w:bCs/>
        </w:rPr>
        <w:t>ис</w:t>
      </w:r>
      <w:r>
        <w:rPr>
          <w:b/>
          <w:bCs/>
        </w:rPr>
        <w:t>пользуемое в настоящее время субъектами хозяйствования кассовое оборудование не соответствует новым требованиям</w:t>
      </w:r>
      <w:r>
        <w:t>.</w:t>
      </w:r>
    </w:p>
    <w:p w:rsidR="006D742E" w:rsidRDefault="00CB3C21">
      <w:pPr>
        <w:pStyle w:val="1"/>
        <w:framePr w:w="9595" w:h="14299" w:hRule="exact" w:wrap="none" w:vAnchor="page" w:hAnchor="page" w:x="1647" w:y="1205"/>
        <w:ind w:firstLine="760"/>
        <w:jc w:val="both"/>
      </w:pPr>
      <w:r>
        <w:t>В случае, если используемое кассовое оборудование не будет дорабатываться, то субъектам хозяйствования необходимо будет до 01.07.2025 приобрест</w:t>
      </w:r>
      <w:r>
        <w:t>и либо новую модель (модификацию) КСА, которая будет соответствовать требованиям постановления № 29/99, либо новую модель программной кассы, которая будет соответствовать требования постановления № 10.</w:t>
      </w:r>
    </w:p>
    <w:p w:rsidR="006D742E" w:rsidRDefault="00CB3C21">
      <w:pPr>
        <w:pStyle w:val="1"/>
        <w:framePr w:w="9595" w:h="14299" w:hRule="exact" w:wrap="none" w:vAnchor="page" w:hAnchor="page" w:x="1647" w:y="1205"/>
        <w:spacing w:line="194" w:lineRule="auto"/>
        <w:ind w:firstLine="760"/>
        <w:jc w:val="both"/>
      </w:pPr>
      <w:r>
        <w:rPr>
          <w:i/>
          <w:iCs/>
        </w:rPr>
        <w:t>Справочно. Перечень моделей (модификаций) КСА, которые</w:t>
      </w:r>
      <w:r>
        <w:rPr>
          <w:i/>
          <w:iCs/>
        </w:rPr>
        <w:t xml:space="preserve"> не могут быть доработаны заявителями до соответствия новым требованиям к КСА (по состоянию на 15.04.2024) и Перечень моделей (модификаций) КСА, которые могут быть доработаны заявителями до соответствия новым требованиям к КСА (по состоянию на 15.04.2024) </w:t>
      </w:r>
      <w:r>
        <w:rPr>
          <w:i/>
          <w:iCs/>
        </w:rPr>
        <w:t xml:space="preserve">размещены на сайте МНС в разделе Налоговый контроль/ </w:t>
      </w:r>
      <w:r>
        <w:rPr>
          <w:i/>
          <w:iCs/>
          <w:color w:val="1A1A1A"/>
        </w:rPr>
        <w:t>Контроль за приемом средств платежа и использованием кассового и иного оборудования.</w:t>
      </w:r>
    </w:p>
    <w:p w:rsidR="006D742E" w:rsidRDefault="006D742E">
      <w:pPr>
        <w:spacing w:line="1" w:lineRule="exact"/>
        <w:sectPr w:rsidR="006D74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42E" w:rsidRDefault="006D742E">
      <w:pPr>
        <w:spacing w:line="1" w:lineRule="exact"/>
      </w:pPr>
    </w:p>
    <w:p w:rsidR="006D742E" w:rsidRDefault="00CB3C21">
      <w:pPr>
        <w:pStyle w:val="a5"/>
        <w:framePr w:w="187" w:h="422" w:hRule="exact" w:wrap="none" w:vAnchor="page" w:hAnchor="page" w:x="6349" w:y="677"/>
        <w:jc w:val="center"/>
      </w:pPr>
      <w:r>
        <w:t>3</w:t>
      </w:r>
    </w:p>
    <w:p w:rsidR="006D742E" w:rsidRDefault="00CB3C21">
      <w:pPr>
        <w:pStyle w:val="1"/>
        <w:framePr w:w="9562" w:h="10099" w:hRule="exact" w:wrap="none" w:vAnchor="page" w:hAnchor="page" w:x="1664" w:y="1104"/>
        <w:ind w:firstLine="720"/>
        <w:jc w:val="both"/>
      </w:pPr>
      <w:r>
        <w:t>Доработка заявителями кассовых суммирующих аппаратов осуществляется в соответствии с Графиком</w:t>
      </w:r>
      <w:r>
        <w:t xml:space="preserve"> 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реестр, а доработка программных касс осуществляется операторами программных касс в </w:t>
      </w:r>
      <w:r>
        <w:t>соответствии с Графиком подачи заявок для проведения оценки доработанных и новых моделей программных касс, соответствующих новым требованиям, а также обновления их у пользователей</w:t>
      </w:r>
    </w:p>
    <w:p w:rsidR="006D742E" w:rsidRDefault="00CB3C21">
      <w:pPr>
        <w:pStyle w:val="1"/>
        <w:framePr w:w="9562" w:h="10099" w:hRule="exact" w:wrap="none" w:vAnchor="page" w:hAnchor="page" w:x="1664" w:y="1104"/>
        <w:spacing w:line="194" w:lineRule="auto"/>
        <w:ind w:firstLine="720"/>
        <w:jc w:val="both"/>
      </w:pPr>
      <w:r>
        <w:rPr>
          <w:i/>
          <w:iCs/>
        </w:rPr>
        <w:t>Справочно. Указанные графики, информация об их соблюдении, а также модели ка</w:t>
      </w:r>
      <w:r>
        <w:rPr>
          <w:i/>
          <w:iCs/>
        </w:rPr>
        <w:t xml:space="preserve">ссового оборудования, соответствующие новым требованиям, размещены на официальном сайте МНС в разделе Налоговый контроль/ </w:t>
      </w:r>
      <w:r>
        <w:rPr>
          <w:i/>
          <w:iCs/>
          <w:color w:val="1A1A1A"/>
        </w:rPr>
        <w:t>Контроль за приемом средств платежа и использованием кассового и иного оборудования</w:t>
      </w:r>
      <w:r>
        <w:rPr>
          <w:i/>
          <w:iCs/>
        </w:rPr>
        <w:t>.</w:t>
      </w:r>
    </w:p>
    <w:p w:rsidR="006D742E" w:rsidRDefault="00CB3C21">
      <w:pPr>
        <w:pStyle w:val="1"/>
        <w:framePr w:w="9562" w:h="10099" w:hRule="exact" w:wrap="none" w:vAnchor="page" w:hAnchor="page" w:x="1664" w:y="1104"/>
        <w:ind w:firstLine="720"/>
        <w:jc w:val="both"/>
      </w:pPr>
      <w:r>
        <w:t>Просим довести настоящую информацию до сведения п</w:t>
      </w:r>
      <w:r>
        <w:t>одведомственных организаций (организаций в отношении которых осуществляется владельческий надзор), использующих кассовое оборудование, о необходимости принятия мер по своевременному обновлению используемого ими парка кассового оборудования, в том числе пре</w:t>
      </w:r>
      <w:r>
        <w:t>дложить заблаговременно заключить договоры (дополнительные соглашения к действующим договорам) с заявителями кассовых суммирующих аппаратов (центрами технического обслуживания и ремонта кассовых суммирующих аппаратов, поставщиками кассовых суммирующих аппа</w:t>
      </w:r>
      <w:r>
        <w:t>ратов), операторами программных кассовых систем на поставку доработанного под новые требования кассового оборудования (обновление программного обеспечения используемого кассового оборудования) с закреплением в таких договорах мер ответственности за несоблю</w:t>
      </w:r>
      <w:r>
        <w:t>дение запланированных сроков поставки (доработки) кассового оборудования, обновления программного обеспечения используемого кассового оборудования.</w:t>
      </w:r>
    </w:p>
    <w:p w:rsidR="006D742E" w:rsidRDefault="006D742E">
      <w:pPr>
        <w:spacing w:line="1" w:lineRule="exact"/>
        <w:sectPr w:rsidR="006D74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42E" w:rsidRDefault="006D742E">
      <w:pPr>
        <w:spacing w:line="1" w:lineRule="exact"/>
      </w:pPr>
    </w:p>
    <w:p w:rsidR="006D742E" w:rsidRDefault="006D742E">
      <w:pPr>
        <w:spacing w:line="1" w:lineRule="exact"/>
      </w:pPr>
    </w:p>
    <w:p w:rsidR="006D742E" w:rsidRDefault="006D742E">
      <w:pPr>
        <w:pStyle w:val="a7"/>
        <w:framePr w:wrap="none" w:vAnchor="page" w:hAnchor="page" w:x="1678" w:y="5304"/>
        <w:ind w:firstLine="0"/>
      </w:pPr>
    </w:p>
    <w:p w:rsidR="006D742E" w:rsidRDefault="006D742E" w:rsidP="00CB3C21">
      <w:pPr>
        <w:spacing w:line="1" w:lineRule="exact"/>
      </w:pPr>
    </w:p>
    <w:sectPr w:rsidR="006D74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3C21">
      <w:r>
        <w:separator/>
      </w:r>
    </w:p>
  </w:endnote>
  <w:endnote w:type="continuationSeparator" w:id="0">
    <w:p w:rsidR="00000000" w:rsidRDefault="00CB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2E" w:rsidRDefault="006D742E"/>
  </w:footnote>
  <w:footnote w:type="continuationSeparator" w:id="0">
    <w:p w:rsidR="006D742E" w:rsidRDefault="006D74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6F15"/>
    <w:multiLevelType w:val="multilevel"/>
    <w:tmpl w:val="78F49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2E"/>
    <w:rsid w:val="006D742E"/>
    <w:rsid w:val="00C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17B6"/>
  <w15:docId w15:val="{3937125D-1278-44C9-9FA3-DF6FCC16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pacing w:after="180" w:line="226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Подпись к таблице"/>
    <w:basedOn w:val="a"/>
    <w:link w:val="a6"/>
    <w:pPr>
      <w:ind w:firstLine="3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4916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налогам и сборам учетом договоренностей, достигнутых в ходе проведения заседания рабочей группы по координации создания и функционирования системы маркировки отдельных видов продукции легкой промышленности (далее – рабочая группа) в допол</vt:lpstr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налогам и сборам учетом договоренностей, достигнутых в ходе проведения заседания рабочей группы по координации создания и функционирования системы маркировки отдельных видов продукции легкой промышленности (далее – рабочая группа) в допол</dc:title>
  <dc:subject/>
  <dc:creator>202-3</dc:creator>
  <cp:keywords/>
  <cp:lastModifiedBy>Нищимная Вероника Владимировна</cp:lastModifiedBy>
  <cp:revision>2</cp:revision>
  <dcterms:created xsi:type="dcterms:W3CDTF">2024-06-10T09:56:00Z</dcterms:created>
  <dcterms:modified xsi:type="dcterms:W3CDTF">2024-06-10T09:56:00Z</dcterms:modified>
</cp:coreProperties>
</file>